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C840" w14:textId="5AD461B1" w:rsidR="00433A0D" w:rsidRDefault="00433A0D" w:rsidP="00433A0D">
      <w:pPr>
        <w:shd w:val="clear" w:color="auto" w:fill="FFFFFF"/>
        <w:spacing w:after="450" w:line="240" w:lineRule="auto"/>
        <w:outlineLvl w:val="0"/>
        <w:rPr>
          <w:rFonts w:ascii="Open Sans" w:eastAsia="Times New Roman" w:hAnsi="Open Sans" w:cs="Open Sans"/>
          <w:b/>
          <w:bCs/>
          <w:color w:val="333333"/>
          <w:kern w:val="36"/>
          <w:lang w:eastAsia="en-IN"/>
        </w:rPr>
      </w:pPr>
      <w:r>
        <w:rPr>
          <w:rFonts w:ascii="Open Sans" w:eastAsia="Times New Roman" w:hAnsi="Open Sans" w:cs="Open Sans"/>
          <w:b/>
          <w:bCs/>
          <w:color w:val="333333"/>
          <w:kern w:val="36"/>
          <w:lang w:eastAsia="en-IN"/>
        </w:rPr>
        <w:t>Link Address:</w:t>
      </w:r>
    </w:p>
    <w:p w14:paraId="20B4A443" w14:textId="02763092" w:rsidR="00433A0D" w:rsidRPr="00433A0D" w:rsidRDefault="00433A0D" w:rsidP="00433A0D">
      <w:pPr>
        <w:shd w:val="clear" w:color="auto" w:fill="FFFFFF"/>
        <w:spacing w:after="450" w:line="240" w:lineRule="auto"/>
        <w:outlineLvl w:val="0"/>
        <w:rPr>
          <w:rFonts w:ascii="Open Sans" w:eastAsia="Times New Roman" w:hAnsi="Open Sans" w:cs="Open Sans"/>
          <w:b/>
          <w:bCs/>
          <w:color w:val="333333"/>
          <w:kern w:val="36"/>
          <w:lang w:eastAsia="en-IN"/>
        </w:rPr>
      </w:pPr>
      <w:r w:rsidRPr="00433A0D">
        <w:rPr>
          <w:rFonts w:ascii="Open Sans" w:eastAsia="Times New Roman" w:hAnsi="Open Sans" w:cs="Open Sans"/>
          <w:b/>
          <w:bCs/>
          <w:color w:val="333333"/>
          <w:kern w:val="36"/>
          <w:lang w:eastAsia="en-IN"/>
        </w:rPr>
        <w:t>https://www.google.com/aclk?sa=l&amp;ai=DChcSEwjd-7q1nqfzAhVOW2AKHYo_DWwYABAAGgJ0bQ&amp;ae=2&amp;sig=AOD64_0glS11Vo9xoU3Xe3zy9O6AnhF31A&amp;q&amp;adurl&amp;ved=2ahUKEwicu7G1nqfzAhVs4nMBHQP5D7YQ0Qx6BAgCEAE</w:t>
      </w:r>
    </w:p>
    <w:p w14:paraId="2476B42D" w14:textId="146CD130" w:rsidR="00433A0D" w:rsidRPr="00433A0D" w:rsidRDefault="00433A0D" w:rsidP="00433A0D">
      <w:pPr>
        <w:shd w:val="clear" w:color="auto" w:fill="FFFFFF"/>
        <w:spacing w:after="450" w:line="240" w:lineRule="auto"/>
        <w:outlineLvl w:val="0"/>
        <w:rPr>
          <w:rFonts w:ascii="Open Sans" w:eastAsia="Times New Roman" w:hAnsi="Open Sans" w:cs="Open Sans"/>
          <w:b/>
          <w:bCs/>
          <w:color w:val="333333"/>
          <w:kern w:val="36"/>
          <w:sz w:val="91"/>
          <w:szCs w:val="91"/>
          <w:lang w:eastAsia="en-IN"/>
        </w:rPr>
      </w:pPr>
      <w:r w:rsidRPr="00433A0D">
        <w:rPr>
          <w:rFonts w:ascii="Open Sans" w:eastAsia="Times New Roman" w:hAnsi="Open Sans" w:cs="Open Sans"/>
          <w:b/>
          <w:bCs/>
          <w:color w:val="333333"/>
          <w:kern w:val="36"/>
          <w:sz w:val="91"/>
          <w:szCs w:val="91"/>
          <w:lang w:eastAsia="en-IN"/>
        </w:rPr>
        <w:t>New amendments to the CSR Act: All you need to know</w:t>
      </w:r>
    </w:p>
    <w:p w14:paraId="78EAE601" w14:textId="77777777" w:rsidR="00433A0D" w:rsidRPr="00433A0D" w:rsidRDefault="00433A0D" w:rsidP="00433A0D">
      <w:pPr>
        <w:shd w:val="clear" w:color="auto" w:fill="FFFFFF"/>
        <w:spacing w:after="450" w:line="408" w:lineRule="atLeast"/>
        <w:outlineLvl w:val="1"/>
        <w:rPr>
          <w:rFonts w:ascii="Open Sans" w:eastAsia="Times New Roman" w:hAnsi="Open Sans" w:cs="Open Sans"/>
          <w:color w:val="333333"/>
          <w:sz w:val="29"/>
          <w:szCs w:val="29"/>
          <w:lang w:eastAsia="en-IN"/>
        </w:rPr>
      </w:pPr>
      <w:r w:rsidRPr="00433A0D">
        <w:rPr>
          <w:rFonts w:ascii="Open Sans" w:eastAsia="Times New Roman" w:hAnsi="Open Sans" w:cs="Open Sans"/>
          <w:color w:val="333333"/>
          <w:sz w:val="29"/>
          <w:szCs w:val="29"/>
          <w:lang w:eastAsia="en-IN"/>
        </w:rPr>
        <w:t xml:space="preserve">The amendments to the CSR Rules have officially been passed by the Government of India. Here's a comprehensive list of their implications on corporates and </w:t>
      </w:r>
      <w:proofErr w:type="spellStart"/>
      <w:r w:rsidRPr="00433A0D">
        <w:rPr>
          <w:rFonts w:ascii="Open Sans" w:eastAsia="Times New Roman" w:hAnsi="Open Sans" w:cs="Open Sans"/>
          <w:color w:val="333333"/>
          <w:sz w:val="29"/>
          <w:szCs w:val="29"/>
          <w:lang w:eastAsia="en-IN"/>
        </w:rPr>
        <w:t>nonprofits</w:t>
      </w:r>
      <w:proofErr w:type="spellEnd"/>
      <w:r w:rsidRPr="00433A0D">
        <w:rPr>
          <w:rFonts w:ascii="Open Sans" w:eastAsia="Times New Roman" w:hAnsi="Open Sans" w:cs="Open Sans"/>
          <w:color w:val="333333"/>
          <w:sz w:val="29"/>
          <w:szCs w:val="29"/>
          <w:lang w:eastAsia="en-IN"/>
        </w:rPr>
        <w:t>.</w:t>
      </w:r>
    </w:p>
    <w:p w14:paraId="6686B563" w14:textId="77777777" w:rsidR="00433A0D" w:rsidRPr="00433A0D" w:rsidRDefault="00433A0D" w:rsidP="00433A0D">
      <w:pPr>
        <w:shd w:val="clear" w:color="auto" w:fill="FFFFFF"/>
        <w:spacing w:line="240" w:lineRule="auto"/>
        <w:rPr>
          <w:rFonts w:ascii="Open Sans" w:eastAsia="Times New Roman" w:hAnsi="Open Sans" w:cs="Open Sans"/>
          <w:color w:val="212529"/>
          <w:lang w:eastAsia="en-IN"/>
        </w:rPr>
      </w:pPr>
      <w:r w:rsidRPr="00433A0D">
        <w:rPr>
          <w:rFonts w:ascii="Open Sans" w:eastAsia="Times New Roman" w:hAnsi="Open Sans" w:cs="Open Sans"/>
          <w:color w:val="212529"/>
          <w:lang w:eastAsia="en-IN"/>
        </w:rPr>
        <w:t>by</w:t>
      </w:r>
      <w:hyperlink r:id="rId5" w:history="1">
        <w:r w:rsidRPr="00433A0D">
          <w:rPr>
            <w:rFonts w:ascii="Open Sans" w:eastAsia="Times New Roman" w:hAnsi="Open Sans" w:cs="Open Sans"/>
            <w:b/>
            <w:bCs/>
            <w:caps/>
            <w:color w:val="73C1B9"/>
            <w:sz w:val="23"/>
            <w:szCs w:val="23"/>
            <w:lang w:eastAsia="en-IN"/>
          </w:rPr>
          <w:t> SAMHEETA RAO</w:t>
        </w:r>
      </w:hyperlink>
    </w:p>
    <w:p w14:paraId="58E98F13" w14:textId="4004D504" w:rsidR="00433A0D" w:rsidRPr="00433A0D" w:rsidRDefault="00433A0D" w:rsidP="00433A0D">
      <w:pPr>
        <w:shd w:val="clear" w:color="auto" w:fill="FFFFFF"/>
        <w:spacing w:after="0" w:line="240" w:lineRule="auto"/>
        <w:rPr>
          <w:rFonts w:ascii="Georgia" w:eastAsia="Times New Roman" w:hAnsi="Georgia" w:cs="Open Sans"/>
          <w:i/>
          <w:iCs/>
          <w:color w:val="212529"/>
          <w:sz w:val="23"/>
          <w:szCs w:val="23"/>
          <w:lang w:eastAsia="en-IN"/>
        </w:rPr>
      </w:pPr>
    </w:p>
    <w:p w14:paraId="1322AC43" w14:textId="77777777" w:rsidR="00433A0D" w:rsidRPr="00433A0D" w:rsidRDefault="00433A0D" w:rsidP="00433A0D">
      <w:pPr>
        <w:shd w:val="clear" w:color="auto" w:fill="FFFFFF"/>
        <w:spacing w:line="240" w:lineRule="auto"/>
        <w:rPr>
          <w:rFonts w:ascii="Open Sans" w:eastAsia="Times New Roman" w:hAnsi="Open Sans" w:cs="Open Sans"/>
          <w:color w:val="212529"/>
          <w:sz w:val="24"/>
          <w:szCs w:val="24"/>
          <w:lang w:eastAsia="en-IN"/>
        </w:rPr>
      </w:pPr>
      <w:r w:rsidRPr="00433A0D">
        <w:rPr>
          <w:rFonts w:ascii="Open Sans" w:eastAsia="Times New Roman" w:hAnsi="Open Sans" w:cs="Open Sans"/>
          <w:color w:val="212529"/>
          <w:sz w:val="24"/>
          <w:szCs w:val="24"/>
          <w:lang w:eastAsia="en-IN"/>
        </w:rPr>
        <w:t>    </w:t>
      </w:r>
    </w:p>
    <w:p w14:paraId="34375072"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The Government of India notified amendments to the</w:t>
      </w:r>
      <w:r w:rsidRPr="00433A0D">
        <w:rPr>
          <w:rFonts w:ascii="Georgia" w:eastAsia="Times New Roman" w:hAnsi="Georgia" w:cs="Open Sans"/>
          <w:b/>
          <w:bCs/>
          <w:color w:val="333333"/>
          <w:sz w:val="25"/>
          <w:szCs w:val="25"/>
          <w:lang w:eastAsia="en-IN"/>
        </w:rPr>
        <w:t> </w:t>
      </w:r>
      <w:hyperlink r:id="rId6" w:tgtFrame="_blank" w:history="1">
        <w:r w:rsidRPr="00433A0D">
          <w:rPr>
            <w:rFonts w:ascii="Georgia" w:eastAsia="Times New Roman" w:hAnsi="Georgia" w:cs="Open Sans"/>
            <w:color w:val="333333"/>
            <w:sz w:val="26"/>
            <w:szCs w:val="26"/>
            <w:lang w:eastAsia="en-IN"/>
          </w:rPr>
          <w:t>Companies (Corporate Social Responsibility) Rules, 2014</w:t>
        </w:r>
      </w:hyperlink>
      <w:r w:rsidRPr="00433A0D">
        <w:rPr>
          <w:rFonts w:ascii="Georgia" w:eastAsia="Times New Roman" w:hAnsi="Georgia" w:cs="Open Sans"/>
          <w:color w:val="333333"/>
          <w:sz w:val="26"/>
          <w:szCs w:val="26"/>
          <w:lang w:eastAsia="en-IN"/>
        </w:rPr>
        <w:t> and </w:t>
      </w:r>
      <w:hyperlink r:id="rId7" w:tgtFrame="_blank" w:history="1">
        <w:r w:rsidRPr="00433A0D">
          <w:rPr>
            <w:rFonts w:ascii="Georgia" w:eastAsia="Times New Roman" w:hAnsi="Georgia" w:cs="Open Sans"/>
            <w:color w:val="333333"/>
            <w:sz w:val="26"/>
            <w:szCs w:val="26"/>
            <w:lang w:eastAsia="en-IN"/>
          </w:rPr>
          <w:t>Section 135 of the Companies Act, 2013</w:t>
        </w:r>
      </w:hyperlink>
      <w:r w:rsidRPr="00433A0D">
        <w:rPr>
          <w:rFonts w:ascii="Georgia" w:eastAsia="Times New Roman" w:hAnsi="Georgia" w:cs="Open Sans"/>
          <w:color w:val="333333"/>
          <w:sz w:val="26"/>
          <w:szCs w:val="26"/>
          <w:lang w:eastAsia="en-IN"/>
        </w:rPr>
        <w:t> on January 22nd, 2021, which means that these are now effective.</w:t>
      </w:r>
    </w:p>
    <w:p w14:paraId="4915F18A"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34"/>
          <w:szCs w:val="34"/>
          <w:lang w:eastAsia="en-IN"/>
        </w:rPr>
      </w:pPr>
      <w:r w:rsidRPr="00433A0D">
        <w:rPr>
          <w:rFonts w:ascii="Open Sans" w:eastAsia="Times New Roman" w:hAnsi="Open Sans" w:cs="Open Sans"/>
          <w:b/>
          <w:bCs/>
          <w:color w:val="333333"/>
          <w:sz w:val="34"/>
          <w:szCs w:val="34"/>
          <w:lang w:eastAsia="en-IN"/>
        </w:rPr>
        <w:t>Impact on corporates</w:t>
      </w:r>
    </w:p>
    <w:p w14:paraId="69E029F3"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1. Eligible CSR spends</w:t>
      </w:r>
    </w:p>
    <w:p w14:paraId="57B641EB"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The following activities cannot be included as part of a company’s eligible CSR spend:</w:t>
      </w:r>
    </w:p>
    <w:p w14:paraId="060BAAC4" w14:textId="77777777" w:rsidR="00433A0D" w:rsidRPr="00433A0D" w:rsidRDefault="00433A0D" w:rsidP="00433A0D">
      <w:pPr>
        <w:numPr>
          <w:ilvl w:val="0"/>
          <w:numId w:val="1"/>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Activities which are undertaken in the normal course of business of a company, or those benefitting only its employees.</w:t>
      </w:r>
    </w:p>
    <w:p w14:paraId="08A2E53E" w14:textId="77777777" w:rsidR="00433A0D" w:rsidRPr="00433A0D" w:rsidRDefault="00433A0D" w:rsidP="00433A0D">
      <w:pPr>
        <w:numPr>
          <w:ilvl w:val="0"/>
          <w:numId w:val="1"/>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Political contributions.</w:t>
      </w:r>
    </w:p>
    <w:p w14:paraId="6C412C4D" w14:textId="77777777" w:rsidR="00433A0D" w:rsidRPr="00433A0D" w:rsidRDefault="00433A0D" w:rsidP="00433A0D">
      <w:pPr>
        <w:numPr>
          <w:ilvl w:val="0"/>
          <w:numId w:val="1"/>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lastRenderedPageBreak/>
        <w:t>Sponsorship activities.</w:t>
      </w:r>
    </w:p>
    <w:p w14:paraId="1B4D6955" w14:textId="77777777" w:rsidR="00433A0D" w:rsidRPr="00433A0D" w:rsidRDefault="00433A0D" w:rsidP="00433A0D">
      <w:pPr>
        <w:numPr>
          <w:ilvl w:val="0"/>
          <w:numId w:val="1"/>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Fulfilment of statutory obligations and activities undertaken outside India (except for training of sports personnel representing a state or country at the national or international level).</w:t>
      </w:r>
    </w:p>
    <w:p w14:paraId="03CE8FF7"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5"/>
          <w:szCs w:val="25"/>
          <w:lang w:eastAsia="en-IN"/>
        </w:rPr>
        <w:t>Activities that can now be included as CSR:</w:t>
      </w:r>
    </w:p>
    <w:p w14:paraId="26759F0B" w14:textId="77777777" w:rsidR="00433A0D" w:rsidRPr="00433A0D" w:rsidRDefault="00433A0D" w:rsidP="00433A0D">
      <w:pPr>
        <w:numPr>
          <w:ilvl w:val="0"/>
          <w:numId w:val="2"/>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COVID-19-related activity in the normal course of business:</w:t>
      </w:r>
      <w:r w:rsidRPr="00433A0D">
        <w:rPr>
          <w:rFonts w:ascii="Georgia" w:eastAsia="Times New Roman" w:hAnsi="Georgia" w:cs="Open Sans"/>
          <w:color w:val="333333"/>
          <w:sz w:val="26"/>
          <w:szCs w:val="26"/>
          <w:lang w:eastAsia="en-IN"/>
        </w:rPr>
        <w:t> This covers companies undertaking research and development into vaccines, medical devices, and drugs related to COVID-19, even if such activity is in their normal course of business. This exemption is allowed up to the financial year 2022-2023. However, the company must make separate disclosures in their annual report and must undertake such research and development in collaboration with an institute specified in </w:t>
      </w:r>
      <w:hyperlink r:id="rId8" w:tgtFrame="_blank" w:history="1">
        <w:r w:rsidRPr="00433A0D">
          <w:rPr>
            <w:rFonts w:ascii="Georgia" w:eastAsia="Times New Roman" w:hAnsi="Georgia" w:cs="Open Sans"/>
            <w:color w:val="333333"/>
            <w:sz w:val="26"/>
            <w:szCs w:val="26"/>
            <w:lang w:eastAsia="en-IN"/>
          </w:rPr>
          <w:t>Schedule VII of the act</w:t>
        </w:r>
      </w:hyperlink>
      <w:r w:rsidRPr="00433A0D">
        <w:rPr>
          <w:rFonts w:ascii="Georgia" w:eastAsia="Times New Roman" w:hAnsi="Georgia" w:cs="Open Sans"/>
          <w:color w:val="333333"/>
          <w:sz w:val="26"/>
          <w:szCs w:val="26"/>
          <w:lang w:eastAsia="en-IN"/>
        </w:rPr>
        <w:t>.</w:t>
      </w:r>
    </w:p>
    <w:p w14:paraId="09633833" w14:textId="77777777" w:rsidR="00433A0D" w:rsidRPr="00433A0D" w:rsidRDefault="00433A0D" w:rsidP="00433A0D">
      <w:pPr>
        <w:numPr>
          <w:ilvl w:val="0"/>
          <w:numId w:val="2"/>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Acquisition or creation of a capital asset provided that it is not owned by the company:</w:t>
      </w:r>
      <w:r w:rsidRPr="00433A0D">
        <w:rPr>
          <w:rFonts w:ascii="Georgia" w:eastAsia="Times New Roman" w:hAnsi="Georgia" w:cs="Open Sans"/>
          <w:color w:val="333333"/>
          <w:sz w:val="26"/>
          <w:szCs w:val="26"/>
          <w:lang w:eastAsia="en-IN"/>
        </w:rPr>
        <w:t> The asset created using CSR funds must be owned either by the organisation supported, or the people served by the project (for instance, collectives such as self-help groups), or by a public authority.</w:t>
      </w:r>
    </w:p>
    <w:p w14:paraId="3E6FAFC7"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5"/>
          <w:szCs w:val="25"/>
          <w:lang w:eastAsia="en-IN"/>
        </w:rPr>
        <w:t>Administrative overheads</w:t>
      </w:r>
    </w:p>
    <w:p w14:paraId="5DB7486C"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 xml:space="preserve">While the term administrative overheads </w:t>
      </w:r>
      <w:proofErr w:type="gramStart"/>
      <w:r w:rsidRPr="00433A0D">
        <w:rPr>
          <w:rFonts w:ascii="Georgia" w:eastAsia="Times New Roman" w:hAnsi="Georgia" w:cs="Open Sans"/>
          <w:color w:val="333333"/>
          <w:sz w:val="26"/>
          <w:szCs w:val="26"/>
          <w:lang w:eastAsia="en-IN"/>
        </w:rPr>
        <w:t>has</w:t>
      </w:r>
      <w:proofErr w:type="gramEnd"/>
      <w:r w:rsidRPr="00433A0D">
        <w:rPr>
          <w:rFonts w:ascii="Georgia" w:eastAsia="Times New Roman" w:hAnsi="Georgia" w:cs="Open Sans"/>
          <w:color w:val="333333"/>
          <w:sz w:val="26"/>
          <w:szCs w:val="26"/>
          <w:lang w:eastAsia="en-IN"/>
        </w:rPr>
        <w:t xml:space="preserve"> not been listed exhaustively, the amendment defines it as expenses incurred for ‘general management and administration’ of CSR functions in a company.</w:t>
      </w:r>
    </w:p>
    <w:p w14:paraId="5B623CFC"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With this notification, it now excludes “…expenses directly incurred for the designing, implementation, monitoring, and evaluation of a particular Corporate Social</w:t>
      </w:r>
      <w:r w:rsidRPr="00433A0D">
        <w:rPr>
          <w:rFonts w:ascii="Georgia" w:eastAsia="Times New Roman" w:hAnsi="Georgia" w:cs="Open Sans"/>
          <w:i/>
          <w:iCs/>
          <w:color w:val="333333"/>
          <w:sz w:val="26"/>
          <w:szCs w:val="26"/>
          <w:lang w:eastAsia="en-IN"/>
        </w:rPr>
        <w:t> </w:t>
      </w:r>
      <w:r w:rsidRPr="00433A0D">
        <w:rPr>
          <w:rFonts w:ascii="Georgia" w:eastAsia="Times New Roman" w:hAnsi="Georgia" w:cs="Open Sans"/>
          <w:color w:val="333333"/>
          <w:sz w:val="26"/>
          <w:szCs w:val="26"/>
          <w:lang w:eastAsia="en-IN"/>
        </w:rPr>
        <w:t>Responsibility project or programme…”. This means that these expenses can now be considered as part of the programme itself, thereby allowing for greater allocation of resources for these activities. However, the cap on administrative costs of five percent of CSR expenditure remains.</w:t>
      </w:r>
    </w:p>
    <w:p w14:paraId="62CA8302"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2. Treatment of unspent, excess, or surplus CSR amounts</w:t>
      </w:r>
    </w:p>
    <w:p w14:paraId="0E10E069"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5"/>
          <w:szCs w:val="25"/>
          <w:lang w:eastAsia="en-IN"/>
        </w:rPr>
        <w:t>Unspent CSR funds</w:t>
      </w:r>
    </w:p>
    <w:p w14:paraId="387DD936"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lastRenderedPageBreak/>
        <w:t>Any unspent CSR funds remaining at the end of a financial year should be transferred in any of the following ways:</w:t>
      </w:r>
    </w:p>
    <w:p w14:paraId="4F02C7E1" w14:textId="77777777" w:rsidR="00433A0D" w:rsidRPr="00433A0D" w:rsidRDefault="00433A0D" w:rsidP="00433A0D">
      <w:pPr>
        <w:numPr>
          <w:ilvl w:val="0"/>
          <w:numId w:val="3"/>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Transfer to an Unspent CSR Account:</w:t>
      </w:r>
      <w:r w:rsidRPr="00433A0D">
        <w:rPr>
          <w:rFonts w:ascii="Georgia" w:eastAsia="Times New Roman" w:hAnsi="Georgia" w:cs="Open Sans"/>
          <w:color w:val="333333"/>
          <w:sz w:val="26"/>
          <w:szCs w:val="26"/>
          <w:lang w:eastAsia="en-IN"/>
        </w:rPr>
        <w:t> Any unspent amount from an ongoing project should be transferred within 30 days of the end of the financial year, to the specifically designated ‘Unspent Corporate Social Responsibility Account’ to be opened by the company. These amounts should be spent within the next three financial years, in accordance with the company’s CSR policy. If these amounts remain unspent even after the three-year period, then they should be transferred, within 30 days of the end of the third financial year, to any fund specified in Schedule VII of the act (such as the </w:t>
      </w:r>
      <w:hyperlink r:id="rId9" w:tgtFrame="_blank" w:history="1">
        <w:r w:rsidRPr="00433A0D">
          <w:rPr>
            <w:rFonts w:ascii="Georgia" w:eastAsia="Times New Roman" w:hAnsi="Georgia" w:cs="Open Sans"/>
            <w:color w:val="333333"/>
            <w:sz w:val="26"/>
            <w:szCs w:val="26"/>
            <w:lang w:eastAsia="en-IN"/>
          </w:rPr>
          <w:t>PM National Relief Fund</w:t>
        </w:r>
      </w:hyperlink>
      <w:r w:rsidRPr="00433A0D">
        <w:rPr>
          <w:rFonts w:ascii="Georgia" w:eastAsia="Times New Roman" w:hAnsi="Georgia" w:cs="Open Sans"/>
          <w:color w:val="333333"/>
          <w:sz w:val="26"/>
          <w:szCs w:val="26"/>
          <w:lang w:eastAsia="en-IN"/>
        </w:rPr>
        <w:t>, </w:t>
      </w:r>
      <w:hyperlink r:id="rId10" w:tgtFrame="_blank" w:history="1">
        <w:r w:rsidRPr="00433A0D">
          <w:rPr>
            <w:rFonts w:ascii="Georgia" w:eastAsia="Times New Roman" w:hAnsi="Georgia" w:cs="Open Sans"/>
            <w:color w:val="333333"/>
            <w:sz w:val="26"/>
            <w:szCs w:val="26"/>
            <w:lang w:eastAsia="en-IN"/>
          </w:rPr>
          <w:t>PM CARES Fund</w:t>
        </w:r>
      </w:hyperlink>
      <w:r w:rsidRPr="00433A0D">
        <w:rPr>
          <w:rFonts w:ascii="Georgia" w:eastAsia="Times New Roman" w:hAnsi="Georgia" w:cs="Open Sans"/>
          <w:color w:val="333333"/>
          <w:sz w:val="26"/>
          <w:szCs w:val="26"/>
          <w:lang w:eastAsia="en-IN"/>
        </w:rPr>
        <w:t>, </w:t>
      </w:r>
      <w:hyperlink r:id="rId11" w:tgtFrame="_blank" w:history="1">
        <w:r w:rsidRPr="00433A0D">
          <w:rPr>
            <w:rFonts w:ascii="Georgia" w:eastAsia="Times New Roman" w:hAnsi="Georgia" w:cs="Open Sans"/>
            <w:color w:val="333333"/>
            <w:sz w:val="26"/>
            <w:szCs w:val="26"/>
            <w:lang w:eastAsia="en-IN"/>
          </w:rPr>
          <w:t>Disaster Management Fund</w:t>
        </w:r>
      </w:hyperlink>
      <w:r w:rsidRPr="00433A0D">
        <w:rPr>
          <w:rFonts w:ascii="Georgia" w:eastAsia="Times New Roman" w:hAnsi="Georgia" w:cs="Open Sans"/>
          <w:color w:val="333333"/>
          <w:sz w:val="26"/>
          <w:szCs w:val="26"/>
          <w:lang w:eastAsia="en-IN"/>
        </w:rPr>
        <w:t>, </w:t>
      </w:r>
      <w:hyperlink r:id="rId12" w:tgtFrame="_blank" w:history="1">
        <w:r w:rsidRPr="00433A0D">
          <w:rPr>
            <w:rFonts w:ascii="Georgia" w:eastAsia="Times New Roman" w:hAnsi="Georgia" w:cs="Open Sans"/>
            <w:color w:val="333333"/>
            <w:sz w:val="26"/>
            <w:szCs w:val="26"/>
            <w:lang w:eastAsia="en-IN"/>
          </w:rPr>
          <w:t>Clean Ganga Fund</w:t>
        </w:r>
      </w:hyperlink>
      <w:r w:rsidRPr="00433A0D">
        <w:rPr>
          <w:rFonts w:ascii="Georgia" w:eastAsia="Times New Roman" w:hAnsi="Georgia" w:cs="Open Sans"/>
          <w:color w:val="333333"/>
          <w:sz w:val="26"/>
          <w:szCs w:val="26"/>
          <w:lang w:eastAsia="en-IN"/>
        </w:rPr>
        <w:t>, and so on).</w:t>
      </w:r>
    </w:p>
    <w:p w14:paraId="38BAE5B8" w14:textId="77777777" w:rsidR="00433A0D" w:rsidRPr="00433A0D" w:rsidRDefault="00433A0D" w:rsidP="00433A0D">
      <w:pPr>
        <w:numPr>
          <w:ilvl w:val="0"/>
          <w:numId w:val="3"/>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Transfer to a Schedule VII fund: </w:t>
      </w:r>
      <w:r w:rsidRPr="00433A0D">
        <w:rPr>
          <w:rFonts w:ascii="Georgia" w:eastAsia="Times New Roman" w:hAnsi="Georgia" w:cs="Open Sans"/>
          <w:color w:val="333333"/>
          <w:sz w:val="26"/>
          <w:szCs w:val="26"/>
          <w:lang w:eastAsia="en-IN"/>
        </w:rPr>
        <w:t>If the funds are unallocated to any CSR project, then such unspent amount shall be transferred, within six months of the end of the financial year, to any fund specified in Schedule VII of the act.</w:t>
      </w:r>
    </w:p>
    <w:p w14:paraId="750B9BA8" w14:textId="1EB423C5" w:rsidR="00433A0D" w:rsidRPr="00433A0D" w:rsidRDefault="00433A0D" w:rsidP="00433A0D">
      <w:pPr>
        <w:shd w:val="clear" w:color="auto" w:fill="FFFFFF"/>
        <w:spacing w:after="0" w:line="240" w:lineRule="auto"/>
        <w:rPr>
          <w:rFonts w:ascii="Georgia" w:eastAsia="Times New Roman" w:hAnsi="Georgia" w:cs="Open Sans"/>
          <w:color w:val="333333"/>
          <w:sz w:val="23"/>
          <w:szCs w:val="23"/>
          <w:lang w:eastAsia="en-IN"/>
        </w:rPr>
      </w:pPr>
      <w:r w:rsidRPr="00433A0D">
        <w:rPr>
          <w:rFonts w:ascii="Georgia" w:eastAsia="Times New Roman" w:hAnsi="Georgia" w:cs="Open Sans"/>
          <w:noProof/>
          <w:color w:val="333333"/>
          <w:sz w:val="23"/>
          <w:szCs w:val="23"/>
          <w:lang w:eastAsia="en-IN"/>
        </w:rPr>
        <w:lastRenderedPageBreak/>
        <mc:AlternateContent>
          <mc:Choice Requires="wps">
            <w:drawing>
              <wp:inline distT="0" distB="0" distL="0" distR="0" wp14:anchorId="7BBD33BC" wp14:editId="00001862">
                <wp:extent cx="9753600" cy="6477000"/>
                <wp:effectExtent l="0" t="0" r="0" b="0"/>
                <wp:docPr id="1" name="Rectangle 1" descr="Graphic of a judge passing a judgement with his gavel-CSR A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87262" id="Rectangle 1" o:spid="_x0000_s1026" alt="Graphic of a judge passing a judgement with his gavel-CSR Act" style="width:768pt;height:5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" filled="f" stroked="f">
                <o:lock v:ext="edit" aspectratio="t"/>
                <w10:anchorlock/>
              </v:rect>
            </w:pict>
          </mc:Fallback>
        </mc:AlternateContent>
      </w:r>
      <w:r w:rsidRPr="00433A0D">
        <w:rPr>
          <w:rFonts w:ascii="Georgia" w:eastAsia="Times New Roman" w:hAnsi="Georgia" w:cs="Open Sans"/>
          <w:color w:val="333333"/>
          <w:sz w:val="23"/>
          <w:szCs w:val="23"/>
          <w:lang w:eastAsia="en-IN"/>
        </w:rPr>
        <w:t xml:space="preserve">There is a new requirement for mandatory impact assessment of CSR projects. | Picture courtesy: Ayesha </w:t>
      </w:r>
      <w:proofErr w:type="spellStart"/>
      <w:r w:rsidRPr="00433A0D">
        <w:rPr>
          <w:rFonts w:ascii="Georgia" w:eastAsia="Times New Roman" w:hAnsi="Georgia" w:cs="Open Sans"/>
          <w:color w:val="333333"/>
          <w:sz w:val="23"/>
          <w:szCs w:val="23"/>
          <w:lang w:eastAsia="en-IN"/>
        </w:rPr>
        <w:t>Marfatia</w:t>
      </w:r>
      <w:proofErr w:type="spellEnd"/>
      <w:r w:rsidRPr="00433A0D">
        <w:rPr>
          <w:rFonts w:ascii="Georgia" w:eastAsia="Times New Roman" w:hAnsi="Georgia" w:cs="Open Sans"/>
          <w:color w:val="333333"/>
          <w:sz w:val="23"/>
          <w:szCs w:val="23"/>
          <w:lang w:eastAsia="en-IN"/>
        </w:rPr>
        <w:t>/Canva</w:t>
      </w:r>
    </w:p>
    <w:p w14:paraId="595F77BD"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5"/>
          <w:szCs w:val="25"/>
          <w:lang w:eastAsia="en-IN"/>
        </w:rPr>
        <w:t>Surplus CSR funds</w:t>
      </w:r>
    </w:p>
    <w:p w14:paraId="3E81634E"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If any surplus arises out of the CSR activities, it must be:</w:t>
      </w:r>
    </w:p>
    <w:p w14:paraId="04CB726B" w14:textId="77777777" w:rsidR="00433A0D" w:rsidRPr="00433A0D" w:rsidRDefault="00433A0D" w:rsidP="00433A0D">
      <w:pPr>
        <w:numPr>
          <w:ilvl w:val="0"/>
          <w:numId w:val="4"/>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Spent on the same project which gave rise to the surplus, or</w:t>
      </w:r>
    </w:p>
    <w:p w14:paraId="0BF12680" w14:textId="77777777" w:rsidR="00433A0D" w:rsidRPr="00433A0D" w:rsidRDefault="00433A0D" w:rsidP="00433A0D">
      <w:pPr>
        <w:numPr>
          <w:ilvl w:val="0"/>
          <w:numId w:val="4"/>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Transferred to the Unspent CSR Account of the company, or</w:t>
      </w:r>
    </w:p>
    <w:p w14:paraId="3D5EB5BF" w14:textId="77777777" w:rsidR="00433A0D" w:rsidRPr="00433A0D" w:rsidRDefault="00433A0D" w:rsidP="00433A0D">
      <w:pPr>
        <w:numPr>
          <w:ilvl w:val="0"/>
          <w:numId w:val="4"/>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Transferred to a fund as specified in Schedule VII of the act.</w:t>
      </w:r>
    </w:p>
    <w:p w14:paraId="756F3188"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5"/>
          <w:szCs w:val="25"/>
          <w:lang w:eastAsia="en-IN"/>
        </w:rPr>
        <w:t>Excess CSR spends</w:t>
      </w:r>
    </w:p>
    <w:p w14:paraId="45CC23BE"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lastRenderedPageBreak/>
        <w:t>If a company has spent amounts more than the mandatory two percent on CSR, the company can set off such excess amounts against the CSR spends in the next three financial years. The board of directors however, needs to pass a resolution for this. It’s important to note that such excess amounts cannot include the surplus arising out of CSR activities. For instance, if any interest is earned out of the assets acquired through the CSR funds, such interest would be treated as a surplus, but cannot be set off from the CSR budget of the following year.</w:t>
      </w:r>
    </w:p>
    <w:p w14:paraId="43841B3F"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3. Impact assessment</w:t>
      </w:r>
    </w:p>
    <w:p w14:paraId="3E1616F4"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There is a </w:t>
      </w:r>
      <w:r w:rsidRPr="00433A0D">
        <w:rPr>
          <w:rFonts w:ascii="Georgia" w:eastAsia="Times New Roman" w:hAnsi="Georgia" w:cs="Open Sans"/>
          <w:b/>
          <w:bCs/>
          <w:color w:val="333333"/>
          <w:sz w:val="25"/>
          <w:szCs w:val="25"/>
          <w:lang w:eastAsia="en-IN"/>
        </w:rPr>
        <w:t>new requirement for mandatory impact assessment</w:t>
      </w:r>
      <w:r w:rsidRPr="00433A0D">
        <w:rPr>
          <w:rFonts w:ascii="Georgia" w:eastAsia="Times New Roman" w:hAnsi="Georgia" w:cs="Open Sans"/>
          <w:color w:val="333333"/>
          <w:sz w:val="26"/>
          <w:szCs w:val="26"/>
          <w:lang w:eastAsia="en-IN"/>
        </w:rPr>
        <w:t> of CSR projects.</w:t>
      </w:r>
    </w:p>
    <w:p w14:paraId="707B6B06" w14:textId="77777777" w:rsidR="00433A0D" w:rsidRPr="00433A0D" w:rsidRDefault="00433A0D" w:rsidP="00433A0D">
      <w:pPr>
        <w:numPr>
          <w:ilvl w:val="0"/>
          <w:numId w:val="5"/>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This requirement applies to companies that have an average CSR spend of INR 10 crore or more in the past three financial years.</w:t>
      </w:r>
    </w:p>
    <w:p w14:paraId="49C5C3F5" w14:textId="77777777" w:rsidR="00433A0D" w:rsidRPr="00433A0D" w:rsidRDefault="00433A0D" w:rsidP="00433A0D">
      <w:pPr>
        <w:numPr>
          <w:ilvl w:val="0"/>
          <w:numId w:val="5"/>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It must be conducted for all CSR projects that have budgets of INR 1 crore and more; and have been completed one year prior to undertaking the impact assessment.</w:t>
      </w:r>
    </w:p>
    <w:p w14:paraId="42FB74BB" w14:textId="77777777" w:rsidR="00433A0D" w:rsidRPr="00433A0D" w:rsidRDefault="00433A0D" w:rsidP="00433A0D">
      <w:pPr>
        <w:numPr>
          <w:ilvl w:val="0"/>
          <w:numId w:val="5"/>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An ‘independent’ agency must be appointed to undertake the impact assessment. The costs of such an agency cannot exceed INR 50 lakh or five percent of the total CSR spend for that financial year (whichever is lower).</w:t>
      </w:r>
    </w:p>
    <w:p w14:paraId="43BA04E6"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4. </w:t>
      </w:r>
      <w:r w:rsidRPr="00433A0D">
        <w:rPr>
          <w:rFonts w:ascii="Open Sans" w:eastAsia="Times New Roman" w:hAnsi="Open Sans" w:cs="Open Sans"/>
          <w:b/>
          <w:bCs/>
          <w:color w:val="333333"/>
          <w:sz w:val="31"/>
          <w:szCs w:val="31"/>
          <w:lang w:eastAsia="en-IN"/>
        </w:rPr>
        <w:t>Governance and transparency</w:t>
      </w:r>
    </w:p>
    <w:p w14:paraId="525AB2A9" w14:textId="77777777" w:rsidR="00433A0D" w:rsidRPr="00433A0D" w:rsidRDefault="00433A0D" w:rsidP="00433A0D">
      <w:pPr>
        <w:numPr>
          <w:ilvl w:val="0"/>
          <w:numId w:val="6"/>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Mandatory disclosures on the website:</w:t>
      </w:r>
      <w:r w:rsidRPr="00433A0D">
        <w:rPr>
          <w:rFonts w:ascii="Georgia" w:eastAsia="Times New Roman" w:hAnsi="Georgia" w:cs="Open Sans"/>
          <w:color w:val="333333"/>
          <w:sz w:val="26"/>
          <w:szCs w:val="26"/>
          <w:lang w:eastAsia="en-IN"/>
        </w:rPr>
        <w:t> If a company has a website, it is mandatorily required to disclose the composition of the CSR committee, its CSR policy, and the projects approved by the board.</w:t>
      </w:r>
    </w:p>
    <w:p w14:paraId="7C84E5B1" w14:textId="77777777" w:rsidR="00433A0D" w:rsidRPr="00433A0D" w:rsidRDefault="00433A0D" w:rsidP="00433A0D">
      <w:pPr>
        <w:numPr>
          <w:ilvl w:val="0"/>
          <w:numId w:val="6"/>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CSR committee:</w:t>
      </w:r>
      <w:r w:rsidRPr="00433A0D">
        <w:rPr>
          <w:rFonts w:ascii="Georgia" w:eastAsia="Times New Roman" w:hAnsi="Georgia" w:cs="Open Sans"/>
          <w:color w:val="333333"/>
          <w:sz w:val="26"/>
          <w:szCs w:val="26"/>
          <w:lang w:eastAsia="en-IN"/>
        </w:rPr>
        <w:t> This committee must formulate an annual action plan for CSR spends, which lists the CSR projects, implementation and monitoring schedules, and details of impact assessment (if applicable). However, if a company’s CSR spend is less than INR 50 lakh it is not required to create a CSR committee. The board of directors will perform the functions of the committee in such a case.</w:t>
      </w:r>
    </w:p>
    <w:p w14:paraId="116CB183" w14:textId="77777777" w:rsidR="00433A0D" w:rsidRPr="00433A0D" w:rsidRDefault="00433A0D" w:rsidP="00433A0D">
      <w:pPr>
        <w:numPr>
          <w:ilvl w:val="0"/>
          <w:numId w:val="6"/>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CSR policy:</w:t>
      </w:r>
      <w:r w:rsidRPr="00433A0D">
        <w:rPr>
          <w:rFonts w:ascii="Georgia" w:eastAsia="Times New Roman" w:hAnsi="Georgia" w:cs="Open Sans"/>
          <w:color w:val="333333"/>
          <w:sz w:val="26"/>
          <w:szCs w:val="26"/>
          <w:lang w:eastAsia="en-IN"/>
        </w:rPr>
        <w:t xml:space="preserve"> A company’s CSR policy must include further details of its CSR philosophy, its guiding principles for selecting projects, </w:t>
      </w:r>
      <w:r w:rsidRPr="00433A0D">
        <w:rPr>
          <w:rFonts w:ascii="Georgia" w:eastAsia="Times New Roman" w:hAnsi="Georgia" w:cs="Open Sans"/>
          <w:color w:val="333333"/>
          <w:sz w:val="26"/>
          <w:szCs w:val="26"/>
          <w:lang w:eastAsia="en-IN"/>
        </w:rPr>
        <w:lastRenderedPageBreak/>
        <w:t>implementation and monitoring of activities, as well as the formulation of the annual action plan.</w:t>
      </w:r>
    </w:p>
    <w:p w14:paraId="11E2ABF6" w14:textId="77777777" w:rsidR="00433A0D" w:rsidRPr="00433A0D" w:rsidRDefault="00433A0D" w:rsidP="00433A0D">
      <w:pPr>
        <w:numPr>
          <w:ilvl w:val="0"/>
          <w:numId w:val="6"/>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Annual disclosures:</w:t>
      </w:r>
      <w:r w:rsidRPr="00433A0D">
        <w:rPr>
          <w:rFonts w:ascii="Georgia" w:eastAsia="Times New Roman" w:hAnsi="Georgia" w:cs="Open Sans"/>
          <w:color w:val="333333"/>
          <w:sz w:val="26"/>
          <w:szCs w:val="26"/>
          <w:lang w:eastAsia="en-IN"/>
        </w:rPr>
        <w:t> These are now more detailed, requiring information on the CSR committee’s composition, its meetings, amounts transferred to the Unspent CSR Account or to a fund specified in Schedule VII, and the capital assets that have been created, acquired, or transferred. Additionally, the rules now require the company’s Chief Financial Officer (or equivalent) to certify that the CSR funds have been disbursed and utilised in the manner approved by the board of directors. Details of the impact assessments undertaken, specific disclosures of the amounts incurred towards administrative overheads, and any other information on CSR projects—whether they are new projects or ongoing projects—should be included.</w:t>
      </w:r>
    </w:p>
    <w:p w14:paraId="3FEBA6C7" w14:textId="77777777" w:rsidR="00433A0D" w:rsidRPr="00433A0D" w:rsidRDefault="00433A0D" w:rsidP="00433A0D">
      <w:pPr>
        <w:numPr>
          <w:ilvl w:val="0"/>
          <w:numId w:val="6"/>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b/>
          <w:bCs/>
          <w:color w:val="333333"/>
          <w:sz w:val="26"/>
          <w:szCs w:val="26"/>
          <w:lang w:eastAsia="en-IN"/>
        </w:rPr>
        <w:t>Monetary penalties for non-compliance:</w:t>
      </w:r>
      <w:r w:rsidRPr="00433A0D">
        <w:rPr>
          <w:rFonts w:ascii="Georgia" w:eastAsia="Times New Roman" w:hAnsi="Georgia" w:cs="Open Sans"/>
          <w:color w:val="333333"/>
          <w:sz w:val="26"/>
          <w:szCs w:val="26"/>
          <w:lang w:eastAsia="en-IN"/>
        </w:rPr>
        <w:t> Departing from the previous philosophy of ‘name and shame’, the amendments have introduced monetary penalties for the company and every officer in default for non-compliance. A defaulting company is now liable for the lesser of INR 1 crore or twice the amount that should have been transferred to the Unspent CSR Account or the Schedule VII specified fund. Additionally, a defaulting officer is now liable for the lesser of INR 2 lakh, or one-tenth the amount that should have been transferred to the ‘Unspent CSR Account’ or the Schedule VII specified fund.</w:t>
      </w:r>
    </w:p>
    <w:p w14:paraId="4E69F2CA"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5. Support from ‘international organisations’</w:t>
      </w:r>
    </w:p>
    <w:p w14:paraId="519408B2"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For the first time, CSR rules have allowed international organisations to assist and play a role in the CSR ecosystem. The rules define an ‘international organisation’ as one that is notified under the </w:t>
      </w:r>
      <w:hyperlink r:id="rId13" w:tgtFrame="_blank" w:history="1">
        <w:r w:rsidRPr="00433A0D">
          <w:rPr>
            <w:rFonts w:ascii="Georgia" w:eastAsia="Times New Roman" w:hAnsi="Georgia" w:cs="Open Sans"/>
            <w:color w:val="333333"/>
            <w:sz w:val="26"/>
            <w:szCs w:val="26"/>
            <w:lang w:eastAsia="en-IN"/>
          </w:rPr>
          <w:t>United Nations (Privileges and Immunities) Act, 1947</w:t>
        </w:r>
      </w:hyperlink>
      <w:r w:rsidRPr="00433A0D">
        <w:rPr>
          <w:rFonts w:ascii="Georgia" w:eastAsia="Times New Roman" w:hAnsi="Georgia" w:cs="Open Sans"/>
          <w:color w:val="333333"/>
          <w:sz w:val="26"/>
          <w:szCs w:val="26"/>
          <w:lang w:eastAsia="en-IN"/>
        </w:rPr>
        <w:t>. This covers entities such as the </w:t>
      </w:r>
      <w:hyperlink r:id="rId14" w:tgtFrame="_blank" w:history="1">
        <w:r w:rsidRPr="00433A0D">
          <w:rPr>
            <w:rFonts w:ascii="Georgia" w:eastAsia="Times New Roman" w:hAnsi="Georgia" w:cs="Open Sans"/>
            <w:color w:val="333333"/>
            <w:sz w:val="26"/>
            <w:szCs w:val="26"/>
            <w:lang w:eastAsia="en-IN"/>
          </w:rPr>
          <w:t>International Labour Organization</w:t>
        </w:r>
      </w:hyperlink>
      <w:r w:rsidRPr="00433A0D">
        <w:rPr>
          <w:rFonts w:ascii="Georgia" w:eastAsia="Times New Roman" w:hAnsi="Georgia" w:cs="Open Sans"/>
          <w:color w:val="333333"/>
          <w:sz w:val="26"/>
          <w:szCs w:val="26"/>
          <w:lang w:eastAsia="en-IN"/>
        </w:rPr>
        <w:t>, the </w:t>
      </w:r>
      <w:hyperlink r:id="rId15" w:tgtFrame="_blank" w:history="1">
        <w:r w:rsidRPr="00433A0D">
          <w:rPr>
            <w:rFonts w:ascii="Georgia" w:eastAsia="Times New Roman" w:hAnsi="Georgia" w:cs="Open Sans"/>
            <w:color w:val="333333"/>
            <w:sz w:val="26"/>
            <w:szCs w:val="26"/>
            <w:lang w:eastAsia="en-IN"/>
          </w:rPr>
          <w:t>World Health Organization</w:t>
        </w:r>
      </w:hyperlink>
      <w:r w:rsidRPr="00433A0D">
        <w:rPr>
          <w:rFonts w:ascii="Georgia" w:eastAsia="Times New Roman" w:hAnsi="Georgia" w:cs="Open Sans"/>
          <w:color w:val="333333"/>
          <w:sz w:val="26"/>
          <w:szCs w:val="26"/>
          <w:lang w:eastAsia="en-IN"/>
        </w:rPr>
        <w:t>, the </w:t>
      </w:r>
      <w:hyperlink r:id="rId16" w:tgtFrame="_blank" w:history="1">
        <w:r w:rsidRPr="00433A0D">
          <w:rPr>
            <w:rFonts w:ascii="Georgia" w:eastAsia="Times New Roman" w:hAnsi="Georgia" w:cs="Open Sans"/>
            <w:color w:val="333333"/>
            <w:sz w:val="26"/>
            <w:szCs w:val="26"/>
            <w:lang w:eastAsia="en-IN"/>
          </w:rPr>
          <w:t>Food and Agriculture Organization of the World Bank</w:t>
        </w:r>
      </w:hyperlink>
      <w:r w:rsidRPr="00433A0D">
        <w:rPr>
          <w:rFonts w:ascii="Georgia" w:eastAsia="Times New Roman" w:hAnsi="Georgia" w:cs="Open Sans"/>
          <w:color w:val="333333"/>
          <w:sz w:val="26"/>
          <w:szCs w:val="26"/>
          <w:lang w:eastAsia="en-IN"/>
        </w:rPr>
        <w:t>, the </w:t>
      </w:r>
      <w:hyperlink r:id="rId17" w:tgtFrame="_blank" w:history="1">
        <w:r w:rsidRPr="00433A0D">
          <w:rPr>
            <w:rFonts w:ascii="Georgia" w:eastAsia="Times New Roman" w:hAnsi="Georgia" w:cs="Open Sans"/>
            <w:color w:val="333333"/>
            <w:sz w:val="26"/>
            <w:szCs w:val="26"/>
            <w:lang w:eastAsia="en-IN"/>
          </w:rPr>
          <w:t>United Nations Educational, Scientific and Cultural Organization</w:t>
        </w:r>
      </w:hyperlink>
      <w:r w:rsidRPr="00433A0D">
        <w:rPr>
          <w:rFonts w:ascii="Georgia" w:eastAsia="Times New Roman" w:hAnsi="Georgia" w:cs="Open Sans"/>
          <w:color w:val="333333"/>
          <w:sz w:val="26"/>
          <w:szCs w:val="26"/>
          <w:lang w:eastAsia="en-IN"/>
        </w:rPr>
        <w:t> (UNESCO), and the </w:t>
      </w:r>
      <w:hyperlink r:id="rId18" w:tgtFrame="_blank" w:history="1">
        <w:r w:rsidRPr="00433A0D">
          <w:rPr>
            <w:rFonts w:ascii="Georgia" w:eastAsia="Times New Roman" w:hAnsi="Georgia" w:cs="Open Sans"/>
            <w:color w:val="333333"/>
            <w:sz w:val="26"/>
            <w:szCs w:val="26"/>
            <w:lang w:eastAsia="en-IN"/>
          </w:rPr>
          <w:t>International Monetary Fund</w:t>
        </w:r>
      </w:hyperlink>
      <w:r w:rsidRPr="00433A0D">
        <w:rPr>
          <w:rFonts w:ascii="Georgia" w:eastAsia="Times New Roman" w:hAnsi="Georgia" w:cs="Open Sans"/>
          <w:color w:val="333333"/>
          <w:sz w:val="26"/>
          <w:szCs w:val="26"/>
          <w:lang w:eastAsia="en-IN"/>
        </w:rPr>
        <w:t>, among others.</w:t>
      </w:r>
    </w:p>
    <w:p w14:paraId="371E8249"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lastRenderedPageBreak/>
        <w:t>The rules permit companies to appoint an international organisation for designing, and monitoring and evaluation of CSR projects or programmes as per its policy, as well as for building the capacity of their own CSR teams. However, the costs or fees paid to such entities may be subject to the cap of five percent on administrative overheads, if it relates to the general management and administration of CSR functions in a company. (This might be the case if the international organisation is providing capacity building services.)</w:t>
      </w:r>
    </w:p>
    <w:p w14:paraId="2878FA65"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34"/>
          <w:szCs w:val="34"/>
          <w:lang w:eastAsia="en-IN"/>
        </w:rPr>
      </w:pPr>
      <w:r w:rsidRPr="00433A0D">
        <w:rPr>
          <w:rFonts w:ascii="Open Sans" w:eastAsia="Times New Roman" w:hAnsi="Open Sans" w:cs="Open Sans"/>
          <w:b/>
          <w:bCs/>
          <w:color w:val="333333"/>
          <w:sz w:val="34"/>
          <w:szCs w:val="34"/>
          <w:lang w:eastAsia="en-IN"/>
        </w:rPr>
        <w:t xml:space="preserve">Impact on </w:t>
      </w:r>
      <w:proofErr w:type="spellStart"/>
      <w:r w:rsidRPr="00433A0D">
        <w:rPr>
          <w:rFonts w:ascii="Open Sans" w:eastAsia="Times New Roman" w:hAnsi="Open Sans" w:cs="Open Sans"/>
          <w:b/>
          <w:bCs/>
          <w:color w:val="333333"/>
          <w:sz w:val="34"/>
          <w:szCs w:val="34"/>
          <w:lang w:eastAsia="en-IN"/>
        </w:rPr>
        <w:t>nonprofits</w:t>
      </w:r>
      <w:proofErr w:type="spellEnd"/>
    </w:p>
    <w:p w14:paraId="442AC04B"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1. </w:t>
      </w:r>
      <w:r w:rsidRPr="00433A0D">
        <w:rPr>
          <w:rFonts w:ascii="Open Sans" w:eastAsia="Times New Roman" w:hAnsi="Open Sans" w:cs="Open Sans"/>
          <w:b/>
          <w:bCs/>
          <w:color w:val="333333"/>
          <w:sz w:val="31"/>
          <w:szCs w:val="31"/>
          <w:lang w:eastAsia="en-IN"/>
        </w:rPr>
        <w:t>Eligibility of implementing organisations</w:t>
      </w:r>
    </w:p>
    <w:p w14:paraId="371FE1A7"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In the draft amendments to the CSR Rules published in March 2020, the government had proposed to only designate Section 8 companies as those that could implement programmes for CSR. However, this proposal has been dropped. Registered public trusts and societies are now also eligible to be appointed for this purpose.</w:t>
      </w:r>
    </w:p>
    <w:p w14:paraId="5D20866D"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The following entities are now </w:t>
      </w:r>
      <w:r w:rsidRPr="00433A0D">
        <w:rPr>
          <w:rFonts w:ascii="Georgia" w:eastAsia="Times New Roman" w:hAnsi="Georgia" w:cs="Open Sans"/>
          <w:b/>
          <w:bCs/>
          <w:color w:val="333333"/>
          <w:sz w:val="25"/>
          <w:szCs w:val="25"/>
          <w:lang w:eastAsia="en-IN"/>
        </w:rPr>
        <w:t>allowed to raise CSR funds</w:t>
      </w:r>
      <w:r w:rsidRPr="00433A0D">
        <w:rPr>
          <w:rFonts w:ascii="Georgia" w:eastAsia="Times New Roman" w:hAnsi="Georgia" w:cs="Open Sans"/>
          <w:color w:val="333333"/>
          <w:sz w:val="26"/>
          <w:szCs w:val="26"/>
          <w:lang w:eastAsia="en-IN"/>
        </w:rPr>
        <w:t>:</w:t>
      </w:r>
    </w:p>
    <w:p w14:paraId="43D1FDBB"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A Section 8 company, a registered public trust, or a registered society, each of which is registered under </w:t>
      </w:r>
      <w:hyperlink r:id="rId19" w:tgtFrame="_blank" w:history="1">
        <w:r w:rsidRPr="00433A0D">
          <w:rPr>
            <w:rFonts w:ascii="Georgia" w:eastAsia="Times New Roman" w:hAnsi="Georgia" w:cs="Open Sans"/>
            <w:color w:val="333333"/>
            <w:sz w:val="26"/>
            <w:szCs w:val="26"/>
            <w:lang w:eastAsia="en-IN"/>
          </w:rPr>
          <w:t>Section 12A</w:t>
        </w:r>
      </w:hyperlink>
      <w:r w:rsidRPr="00433A0D">
        <w:rPr>
          <w:rFonts w:ascii="Georgia" w:eastAsia="Times New Roman" w:hAnsi="Georgia" w:cs="Open Sans"/>
          <w:color w:val="333333"/>
          <w:sz w:val="26"/>
          <w:szCs w:val="26"/>
          <w:lang w:eastAsia="en-IN"/>
        </w:rPr>
        <w:t> and </w:t>
      </w:r>
      <w:hyperlink r:id="rId20" w:tgtFrame="_blank" w:history="1">
        <w:r w:rsidRPr="00433A0D">
          <w:rPr>
            <w:rFonts w:ascii="Georgia" w:eastAsia="Times New Roman" w:hAnsi="Georgia" w:cs="Open Sans"/>
            <w:color w:val="333333"/>
            <w:sz w:val="26"/>
            <w:szCs w:val="26"/>
            <w:lang w:eastAsia="en-IN"/>
          </w:rPr>
          <w:t>80G of the Income Tax Act, 1961</w:t>
        </w:r>
      </w:hyperlink>
      <w:r w:rsidRPr="00433A0D">
        <w:rPr>
          <w:rFonts w:ascii="Georgia" w:eastAsia="Times New Roman" w:hAnsi="Georgia" w:cs="Open Sans"/>
          <w:color w:val="333333"/>
          <w:sz w:val="26"/>
          <w:szCs w:val="26"/>
          <w:lang w:eastAsia="en-IN"/>
        </w:rPr>
        <w:t>. These entities can be:</w:t>
      </w:r>
    </w:p>
    <w:p w14:paraId="69FFCB9E" w14:textId="77777777" w:rsidR="00433A0D" w:rsidRPr="00433A0D" w:rsidRDefault="00433A0D" w:rsidP="00433A0D">
      <w:pPr>
        <w:numPr>
          <w:ilvl w:val="0"/>
          <w:numId w:val="7"/>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Established by the company undertaking CSR activities itself</w:t>
      </w:r>
    </w:p>
    <w:p w14:paraId="153360B1" w14:textId="77777777" w:rsidR="00433A0D" w:rsidRPr="00433A0D" w:rsidRDefault="00433A0D" w:rsidP="00433A0D">
      <w:pPr>
        <w:numPr>
          <w:ilvl w:val="0"/>
          <w:numId w:val="7"/>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Independent organisations with an established track record of at least three years in undertaking similar programmes or projects</w:t>
      </w:r>
    </w:p>
    <w:p w14:paraId="6F11162D"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In the case of the above two categories, registration under Section 12A and 80G of the Income Tax Act is mandatory.</w:t>
      </w:r>
    </w:p>
    <w:p w14:paraId="7D8CBF2B"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Also eligible are any entities established by the Central or State Government, or those established under an Act of Parliament or a state legislature. In the case of these two categories, registration under Section 12A and Section 80G is not required.</w:t>
      </w:r>
    </w:p>
    <w:p w14:paraId="1B8EDA85"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29"/>
          <w:szCs w:val="29"/>
          <w:lang w:eastAsia="en-IN"/>
        </w:rPr>
      </w:pPr>
      <w:r w:rsidRPr="00433A0D">
        <w:rPr>
          <w:rFonts w:ascii="Open Sans" w:eastAsia="Times New Roman" w:hAnsi="Open Sans" w:cs="Open Sans"/>
          <w:b/>
          <w:bCs/>
          <w:color w:val="333333"/>
          <w:sz w:val="29"/>
          <w:szCs w:val="29"/>
          <w:lang w:eastAsia="en-IN"/>
        </w:rPr>
        <w:t>2. </w:t>
      </w:r>
      <w:r w:rsidRPr="00433A0D">
        <w:rPr>
          <w:rFonts w:ascii="Open Sans" w:eastAsia="Times New Roman" w:hAnsi="Open Sans" w:cs="Open Sans"/>
          <w:b/>
          <w:bCs/>
          <w:color w:val="333333"/>
          <w:sz w:val="31"/>
          <w:szCs w:val="31"/>
          <w:lang w:eastAsia="en-IN"/>
        </w:rPr>
        <w:t>Mandatory registration of CSR implementing organisations</w:t>
      </w:r>
    </w:p>
    <w:p w14:paraId="5261EA92"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lastRenderedPageBreak/>
        <w:t>With effect from April 1st, 2021, every entity listed above is required to mandatorily register itself with the </w:t>
      </w:r>
      <w:hyperlink r:id="rId21" w:tgtFrame="_blank" w:history="1">
        <w:r w:rsidRPr="00433A0D">
          <w:rPr>
            <w:rFonts w:ascii="Georgia" w:eastAsia="Times New Roman" w:hAnsi="Georgia" w:cs="Open Sans"/>
            <w:color w:val="333333"/>
            <w:sz w:val="26"/>
            <w:szCs w:val="26"/>
            <w:lang w:eastAsia="en-IN"/>
          </w:rPr>
          <w:t>Ministry of Corporate Affairs</w:t>
        </w:r>
      </w:hyperlink>
      <w:r w:rsidRPr="00433A0D">
        <w:rPr>
          <w:rFonts w:ascii="Georgia" w:eastAsia="Times New Roman" w:hAnsi="Georgia" w:cs="Open Sans"/>
          <w:color w:val="333333"/>
          <w:sz w:val="26"/>
          <w:szCs w:val="26"/>
          <w:lang w:eastAsia="en-IN"/>
        </w:rPr>
        <w:t> (MCA). Such entities are required to apply in the prescribed form (providing details of their legal entity, directors, trustees, and so on) and thereafter obtain a unique CSR registration number. Going forward, this unique number must be quoted on the annual report of companies who have appointed such agencies. This requirement does not impact projects already approved prior to April 1st, 2021.</w:t>
      </w:r>
    </w:p>
    <w:p w14:paraId="1170BD1B"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i/>
          <w:iCs/>
          <w:color w:val="333333"/>
          <w:sz w:val="26"/>
          <w:szCs w:val="26"/>
          <w:lang w:eastAsia="en-IN"/>
        </w:rPr>
        <w:t>An earlier version of this article incorrectly stated that funds in an ‘Unspent Corporate Social Responsibility Account’ that remain unspent beyond a three-year period should be transferred within six months of the end of the financial year to any fund specified in Schedule VII. The article was corrected on July 20th, 2021.</w:t>
      </w:r>
    </w:p>
    <w:p w14:paraId="2D137506" w14:textId="77777777" w:rsidR="00433A0D" w:rsidRPr="00433A0D" w:rsidRDefault="00433A0D" w:rsidP="00433A0D">
      <w:pPr>
        <w:shd w:val="clear" w:color="auto" w:fill="FFFFFF"/>
        <w:spacing w:after="0" w:line="444" w:lineRule="atLeast"/>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w:t>
      </w:r>
    </w:p>
    <w:p w14:paraId="5E7D3434"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34"/>
          <w:szCs w:val="34"/>
          <w:lang w:eastAsia="en-IN"/>
        </w:rPr>
      </w:pPr>
      <w:r w:rsidRPr="00433A0D">
        <w:rPr>
          <w:rFonts w:ascii="Open Sans" w:eastAsia="Times New Roman" w:hAnsi="Open Sans" w:cs="Open Sans"/>
          <w:b/>
          <w:bCs/>
          <w:color w:val="333333"/>
          <w:sz w:val="34"/>
          <w:szCs w:val="34"/>
          <w:lang w:eastAsia="en-IN"/>
        </w:rPr>
        <w:t>Know more</w:t>
      </w:r>
    </w:p>
    <w:p w14:paraId="0448A49B" w14:textId="77777777" w:rsidR="00433A0D" w:rsidRPr="00433A0D" w:rsidRDefault="00433A0D" w:rsidP="00433A0D">
      <w:pPr>
        <w:numPr>
          <w:ilvl w:val="0"/>
          <w:numId w:val="8"/>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Read the </w:t>
      </w:r>
      <w:hyperlink r:id="rId22" w:tgtFrame="_blank" w:history="1">
        <w:r w:rsidRPr="00433A0D">
          <w:rPr>
            <w:rFonts w:ascii="Georgia" w:eastAsia="Times New Roman" w:hAnsi="Georgia" w:cs="Open Sans"/>
            <w:color w:val="333333"/>
            <w:sz w:val="26"/>
            <w:szCs w:val="26"/>
            <w:lang w:eastAsia="en-IN"/>
          </w:rPr>
          <w:t>official notification</w:t>
        </w:r>
      </w:hyperlink>
      <w:r w:rsidRPr="00433A0D">
        <w:rPr>
          <w:rFonts w:ascii="Georgia" w:eastAsia="Times New Roman" w:hAnsi="Georgia" w:cs="Open Sans"/>
          <w:color w:val="333333"/>
          <w:sz w:val="26"/>
          <w:szCs w:val="26"/>
          <w:lang w:eastAsia="en-IN"/>
        </w:rPr>
        <w:t> of the amendments to the Companies (Corporate Social Responsibility) Rules, 2014 and Section 135 of the Companies Act, 2013.</w:t>
      </w:r>
    </w:p>
    <w:p w14:paraId="71DF8F7E" w14:textId="77777777" w:rsidR="00433A0D" w:rsidRPr="00433A0D" w:rsidRDefault="00433A0D" w:rsidP="00433A0D">
      <w:pPr>
        <w:numPr>
          <w:ilvl w:val="0"/>
          <w:numId w:val="8"/>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Watch </w:t>
      </w:r>
      <w:hyperlink r:id="rId23" w:tgtFrame="_blank" w:history="1">
        <w:r w:rsidRPr="00433A0D">
          <w:rPr>
            <w:rFonts w:ascii="Georgia" w:eastAsia="Times New Roman" w:hAnsi="Georgia" w:cs="Open Sans"/>
            <w:color w:val="333333"/>
            <w:sz w:val="26"/>
            <w:szCs w:val="26"/>
            <w:lang w:eastAsia="en-IN"/>
          </w:rPr>
          <w:t>this webinar</w:t>
        </w:r>
      </w:hyperlink>
      <w:r w:rsidRPr="00433A0D">
        <w:rPr>
          <w:rFonts w:ascii="Georgia" w:eastAsia="Times New Roman" w:hAnsi="Georgia" w:cs="Open Sans"/>
          <w:color w:val="333333"/>
          <w:sz w:val="26"/>
          <w:szCs w:val="26"/>
          <w:lang w:eastAsia="en-IN"/>
        </w:rPr>
        <w:t> to learn more about the implications of the recent amendments.</w:t>
      </w:r>
    </w:p>
    <w:p w14:paraId="2890D607" w14:textId="77777777" w:rsidR="00433A0D" w:rsidRPr="00433A0D" w:rsidRDefault="00433A0D" w:rsidP="00433A0D">
      <w:pPr>
        <w:shd w:val="clear" w:color="auto" w:fill="FFFFFF"/>
        <w:spacing w:after="0" w:line="444" w:lineRule="atLeast"/>
        <w:outlineLvl w:val="2"/>
        <w:rPr>
          <w:rFonts w:ascii="Open Sans" w:eastAsia="Times New Roman" w:hAnsi="Open Sans" w:cs="Open Sans"/>
          <w:b/>
          <w:bCs/>
          <w:color w:val="333333"/>
          <w:sz w:val="34"/>
          <w:szCs w:val="34"/>
          <w:lang w:eastAsia="en-IN"/>
        </w:rPr>
      </w:pPr>
      <w:r w:rsidRPr="00433A0D">
        <w:rPr>
          <w:rFonts w:ascii="Open Sans" w:eastAsia="Times New Roman" w:hAnsi="Open Sans" w:cs="Open Sans"/>
          <w:b/>
          <w:bCs/>
          <w:color w:val="333333"/>
          <w:sz w:val="34"/>
          <w:szCs w:val="34"/>
          <w:lang w:eastAsia="en-IN"/>
        </w:rPr>
        <w:t>Do more</w:t>
      </w:r>
    </w:p>
    <w:p w14:paraId="576F8AC1" w14:textId="77777777" w:rsidR="00433A0D" w:rsidRPr="00433A0D" w:rsidRDefault="00433A0D" w:rsidP="00433A0D">
      <w:pPr>
        <w:numPr>
          <w:ilvl w:val="0"/>
          <w:numId w:val="9"/>
        </w:numPr>
        <w:shd w:val="clear" w:color="auto" w:fill="FFFFFF"/>
        <w:spacing w:after="0" w:line="444" w:lineRule="atLeast"/>
        <w:ind w:left="495"/>
        <w:rPr>
          <w:rFonts w:ascii="Georgia" w:eastAsia="Times New Roman" w:hAnsi="Georgia" w:cs="Open Sans"/>
          <w:color w:val="333333"/>
          <w:sz w:val="26"/>
          <w:szCs w:val="26"/>
          <w:lang w:eastAsia="en-IN"/>
        </w:rPr>
      </w:pPr>
      <w:r w:rsidRPr="00433A0D">
        <w:rPr>
          <w:rFonts w:ascii="Georgia" w:eastAsia="Times New Roman" w:hAnsi="Georgia" w:cs="Open Sans"/>
          <w:color w:val="333333"/>
          <w:sz w:val="26"/>
          <w:szCs w:val="26"/>
          <w:lang w:eastAsia="en-IN"/>
        </w:rPr>
        <w:t>If you work at a corporate, look into: 1) Strengthening CSR-related reporting and MIS systems to ensure accurate reporting to the board/senior management; 2) Verifying CSR-related expenditure, starting from administrative overheads, surplus, setting-off excess CSR spends of one year, and so on; 3) Shortlisting and taking on board impact assessment agencies upfront. </w:t>
      </w:r>
    </w:p>
    <w:p w14:paraId="49364BBC" w14:textId="77777777" w:rsidR="008573E1" w:rsidRDefault="00433A0D"/>
    <w:sectPr w:rsidR="00857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6A9A"/>
    <w:multiLevelType w:val="multilevel"/>
    <w:tmpl w:val="EBD4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30935"/>
    <w:multiLevelType w:val="multilevel"/>
    <w:tmpl w:val="C33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A37C1"/>
    <w:multiLevelType w:val="multilevel"/>
    <w:tmpl w:val="6E98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D279F"/>
    <w:multiLevelType w:val="multilevel"/>
    <w:tmpl w:val="69C4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721C2"/>
    <w:multiLevelType w:val="multilevel"/>
    <w:tmpl w:val="B41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500D9"/>
    <w:multiLevelType w:val="multilevel"/>
    <w:tmpl w:val="577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F287F"/>
    <w:multiLevelType w:val="multilevel"/>
    <w:tmpl w:val="A52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27B07"/>
    <w:multiLevelType w:val="multilevel"/>
    <w:tmpl w:val="3066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61B39"/>
    <w:multiLevelType w:val="multilevel"/>
    <w:tmpl w:val="0378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8"/>
  </w:num>
  <w:num w:numId="5">
    <w:abstractNumId w:val="1"/>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D7"/>
    <w:rsid w:val="000316D7"/>
    <w:rsid w:val="00433A0D"/>
    <w:rsid w:val="004B620B"/>
    <w:rsid w:val="00D70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063B"/>
  <w15:chartTrackingRefBased/>
  <w15:docId w15:val="{13D70B0C-3862-4821-A333-16CA1CD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3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33A0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33A0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A0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33A0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33A0D"/>
    <w:rPr>
      <w:rFonts w:ascii="Times New Roman" w:eastAsia="Times New Roman" w:hAnsi="Times New Roman" w:cs="Times New Roman"/>
      <w:b/>
      <w:bCs/>
      <w:sz w:val="27"/>
      <w:szCs w:val="27"/>
      <w:lang w:eastAsia="en-IN"/>
    </w:rPr>
  </w:style>
  <w:style w:type="character" w:customStyle="1" w:styleId="authorsspan">
    <w:name w:val="authors_span"/>
    <w:basedOn w:val="DefaultParagraphFont"/>
    <w:rsid w:val="00433A0D"/>
  </w:style>
  <w:style w:type="character" w:styleId="Hyperlink">
    <w:name w:val="Hyperlink"/>
    <w:basedOn w:val="DefaultParagraphFont"/>
    <w:uiPriority w:val="99"/>
    <w:semiHidden/>
    <w:unhideWhenUsed/>
    <w:rsid w:val="00433A0D"/>
    <w:rPr>
      <w:color w:val="0000FF"/>
      <w:u w:val="single"/>
    </w:rPr>
  </w:style>
  <w:style w:type="paragraph" w:styleId="NormalWeb">
    <w:name w:val="Normal (Web)"/>
    <w:basedOn w:val="Normal"/>
    <w:uiPriority w:val="99"/>
    <w:semiHidden/>
    <w:unhideWhenUsed/>
    <w:rsid w:val="00433A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33A0D"/>
    <w:rPr>
      <w:b/>
      <w:bCs/>
    </w:rPr>
  </w:style>
  <w:style w:type="character" w:styleId="Emphasis">
    <w:name w:val="Emphasis"/>
    <w:basedOn w:val="DefaultParagraphFont"/>
    <w:uiPriority w:val="20"/>
    <w:qFormat/>
    <w:rsid w:val="00433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96239">
      <w:bodyDiv w:val="1"/>
      <w:marLeft w:val="0"/>
      <w:marRight w:val="0"/>
      <w:marTop w:val="0"/>
      <w:marBottom w:val="0"/>
      <w:divBdr>
        <w:top w:val="none" w:sz="0" w:space="0" w:color="auto"/>
        <w:left w:val="none" w:sz="0" w:space="0" w:color="auto"/>
        <w:bottom w:val="none" w:sz="0" w:space="0" w:color="auto"/>
        <w:right w:val="none" w:sz="0" w:space="0" w:color="auto"/>
      </w:divBdr>
      <w:divsChild>
        <w:div w:id="1660575289">
          <w:marLeft w:val="-225"/>
          <w:marRight w:val="-225"/>
          <w:marTop w:val="300"/>
          <w:marBottom w:val="0"/>
          <w:divBdr>
            <w:top w:val="none" w:sz="0" w:space="0" w:color="auto"/>
            <w:left w:val="none" w:sz="0" w:space="0" w:color="auto"/>
            <w:bottom w:val="none" w:sz="0" w:space="0" w:color="auto"/>
            <w:right w:val="none" w:sz="0" w:space="0" w:color="auto"/>
          </w:divBdr>
          <w:divsChild>
            <w:div w:id="1085035202">
              <w:marLeft w:val="0"/>
              <w:marRight w:val="0"/>
              <w:marTop w:val="0"/>
              <w:marBottom w:val="0"/>
              <w:divBdr>
                <w:top w:val="none" w:sz="0" w:space="0" w:color="auto"/>
                <w:left w:val="none" w:sz="0" w:space="0" w:color="auto"/>
                <w:bottom w:val="none" w:sz="0" w:space="0" w:color="auto"/>
                <w:right w:val="none" w:sz="0" w:space="0" w:color="auto"/>
              </w:divBdr>
            </w:div>
            <w:div w:id="1355763390">
              <w:marLeft w:val="0"/>
              <w:marRight w:val="0"/>
              <w:marTop w:val="0"/>
              <w:marBottom w:val="0"/>
              <w:divBdr>
                <w:top w:val="none" w:sz="0" w:space="0" w:color="auto"/>
                <w:left w:val="none" w:sz="0" w:space="0" w:color="auto"/>
                <w:bottom w:val="none" w:sz="0" w:space="0" w:color="auto"/>
                <w:right w:val="none" w:sz="0" w:space="0" w:color="auto"/>
              </w:divBdr>
              <w:divsChild>
                <w:div w:id="517158975">
                  <w:marLeft w:val="-225"/>
                  <w:marRight w:val="-225"/>
                  <w:marTop w:val="0"/>
                  <w:marBottom w:val="600"/>
                  <w:divBdr>
                    <w:top w:val="none" w:sz="0" w:space="0" w:color="auto"/>
                    <w:left w:val="none" w:sz="0" w:space="0" w:color="auto"/>
                    <w:bottom w:val="none" w:sz="0" w:space="0" w:color="auto"/>
                    <w:right w:val="none" w:sz="0" w:space="0" w:color="auto"/>
                  </w:divBdr>
                  <w:divsChild>
                    <w:div w:id="418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1557">
          <w:marLeft w:val="-225"/>
          <w:marRight w:val="-225"/>
          <w:marTop w:val="0"/>
          <w:marBottom w:val="0"/>
          <w:divBdr>
            <w:top w:val="none" w:sz="0" w:space="0" w:color="auto"/>
            <w:left w:val="none" w:sz="0" w:space="0" w:color="auto"/>
            <w:bottom w:val="none" w:sz="0" w:space="0" w:color="auto"/>
            <w:right w:val="none" w:sz="0" w:space="0" w:color="auto"/>
          </w:divBdr>
          <w:divsChild>
            <w:div w:id="1870332872">
              <w:marLeft w:val="0"/>
              <w:marRight w:val="0"/>
              <w:marTop w:val="0"/>
              <w:marBottom w:val="0"/>
              <w:divBdr>
                <w:top w:val="none" w:sz="0" w:space="0" w:color="auto"/>
                <w:left w:val="none" w:sz="0" w:space="0" w:color="auto"/>
                <w:bottom w:val="none" w:sz="0" w:space="0" w:color="auto"/>
                <w:right w:val="none" w:sz="0" w:space="0" w:color="auto"/>
              </w:divBdr>
              <w:divsChild>
                <w:div w:id="1660890712">
                  <w:marLeft w:val="0"/>
                  <w:marRight w:val="0"/>
                  <w:marTop w:val="0"/>
                  <w:marBottom w:val="0"/>
                  <w:divBdr>
                    <w:top w:val="single" w:sz="6" w:space="12" w:color="000000"/>
                    <w:left w:val="none" w:sz="0" w:space="0" w:color="auto"/>
                    <w:bottom w:val="none" w:sz="0" w:space="0" w:color="auto"/>
                    <w:right w:val="none" w:sz="0" w:space="0" w:color="auto"/>
                  </w:divBdr>
                </w:div>
              </w:divsChild>
            </w:div>
            <w:div w:id="582491343">
              <w:marLeft w:val="0"/>
              <w:marRight w:val="0"/>
              <w:marTop w:val="0"/>
              <w:marBottom w:val="0"/>
              <w:divBdr>
                <w:top w:val="none" w:sz="0" w:space="0" w:color="auto"/>
                <w:left w:val="none" w:sz="0" w:space="0" w:color="auto"/>
                <w:bottom w:val="none" w:sz="0" w:space="0" w:color="auto"/>
                <w:right w:val="none" w:sz="0" w:space="0" w:color="auto"/>
              </w:divBdr>
              <w:divsChild>
                <w:div w:id="201750494">
                  <w:marLeft w:val="0"/>
                  <w:marRight w:val="0"/>
                  <w:marTop w:val="240"/>
                  <w:marBottom w:val="240"/>
                  <w:divBdr>
                    <w:top w:val="none" w:sz="0" w:space="0" w:color="auto"/>
                    <w:left w:val="none" w:sz="0" w:space="0" w:color="auto"/>
                    <w:bottom w:val="none" w:sz="0" w:space="0" w:color="auto"/>
                    <w:right w:val="none" w:sz="0" w:space="0" w:color="auto"/>
                  </w:divBdr>
                </w:div>
                <w:div w:id="20903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in/SearchableActs/Schedule7.htm" TargetMode="External"/><Relationship Id="rId13" Type="http://schemas.openxmlformats.org/officeDocument/2006/relationships/hyperlink" Target="http://www.mea.gov.in/Uploads/PublicationDocs/142_1947-The-United-Nations-Privileges-And-Immunities-Act-1947.pdf" TargetMode="External"/><Relationship Id="rId18" Type="http://schemas.openxmlformats.org/officeDocument/2006/relationships/hyperlink" Target="https://www.imf.org/en/Home" TargetMode="External"/><Relationship Id="rId3" Type="http://schemas.openxmlformats.org/officeDocument/2006/relationships/settings" Target="settings.xml"/><Relationship Id="rId21" Type="http://schemas.openxmlformats.org/officeDocument/2006/relationships/hyperlink" Target="http://www.mca.gov.in/" TargetMode="External"/><Relationship Id="rId7" Type="http://schemas.openxmlformats.org/officeDocument/2006/relationships/hyperlink" Target="https://www.mca.gov.in/SearchableActs/Section135.htm" TargetMode="External"/><Relationship Id="rId12" Type="http://schemas.openxmlformats.org/officeDocument/2006/relationships/hyperlink" Target="https://nmcg.nic.in/cleangangafund/index.html" TargetMode="External"/><Relationship Id="rId17" Type="http://schemas.openxmlformats.org/officeDocument/2006/relationships/hyperlink" Target="https://en.unesco.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o.org/home/en/" TargetMode="External"/><Relationship Id="rId20" Type="http://schemas.openxmlformats.org/officeDocument/2006/relationships/hyperlink" Target="https://cleartax.in/s/donation-under-section-80g-and-80gga" TargetMode="External"/><Relationship Id="rId1" Type="http://schemas.openxmlformats.org/officeDocument/2006/relationships/numbering" Target="numbering.xml"/><Relationship Id="rId6" Type="http://schemas.openxmlformats.org/officeDocument/2006/relationships/hyperlink" Target="http://egazette.nic.in/WriteReadData/2021/224640.pdf" TargetMode="External"/><Relationship Id="rId11" Type="http://schemas.openxmlformats.org/officeDocument/2006/relationships/hyperlink" Target="http://www.ndrf.gov.in/" TargetMode="External"/><Relationship Id="rId24" Type="http://schemas.openxmlformats.org/officeDocument/2006/relationships/fontTable" Target="fontTable.xml"/><Relationship Id="rId5" Type="http://schemas.openxmlformats.org/officeDocument/2006/relationships/hyperlink" Target="https://idronline.org/contributor/10176/" TargetMode="External"/><Relationship Id="rId15" Type="http://schemas.openxmlformats.org/officeDocument/2006/relationships/hyperlink" Target="https://www.who.int/" TargetMode="External"/><Relationship Id="rId23" Type="http://schemas.openxmlformats.org/officeDocument/2006/relationships/hyperlink" Target="https://www.youtube.com/watch?v=7BU3cetYGW0" TargetMode="External"/><Relationship Id="rId10" Type="http://schemas.openxmlformats.org/officeDocument/2006/relationships/hyperlink" Target="https://www.pmcares.gov.in/en/" TargetMode="External"/><Relationship Id="rId19" Type="http://schemas.openxmlformats.org/officeDocument/2006/relationships/hyperlink" Target="https://tax2win.in/guide/section-12a-of-income-tax-act" TargetMode="External"/><Relationship Id="rId4" Type="http://schemas.openxmlformats.org/officeDocument/2006/relationships/webSettings" Target="webSettings.xml"/><Relationship Id="rId9" Type="http://schemas.openxmlformats.org/officeDocument/2006/relationships/hyperlink" Target="https://pmnrf.gov.in/en/" TargetMode="External"/><Relationship Id="rId14" Type="http://schemas.openxmlformats.org/officeDocument/2006/relationships/hyperlink" Target="https://www.ilo.org/global/lang--en/index.htm" TargetMode="External"/><Relationship Id="rId22" Type="http://schemas.openxmlformats.org/officeDocument/2006/relationships/hyperlink" Target="http://egazette.nic.in/WriteReadData/2021/2246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roopaaroor@gmail.com</dc:creator>
  <cp:keywords/>
  <dc:description/>
  <cp:lastModifiedBy>roopaaroor@gmail.com</cp:lastModifiedBy>
  <cp:revision>2</cp:revision>
  <dcterms:created xsi:type="dcterms:W3CDTF">2021-09-30T17:44:00Z</dcterms:created>
  <dcterms:modified xsi:type="dcterms:W3CDTF">2021-09-30T17:49:00Z</dcterms:modified>
</cp:coreProperties>
</file>